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40000" cy="59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do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59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0527A"/>
          <w:sz w:val="40"/>
        </w:rPr>
        <w:t>Опросный лист: ЦОД под заказ</w:t>
      </w:r>
    </w:p>
    <w:p>
      <w:r>
        <w:rPr>
          <w:color w:val="5A6678"/>
        </w:rPr>
        <w:t>Заполните то, что известно, — остальное уточним на созвоне и обследовании площадки. Отправьте файл через форму на сайте или на почту менеджера.</w:t>
      </w:r>
    </w:p>
    <w:p>
      <w:pPr>
        <w:spacing w:before="240"/>
      </w:pPr>
      <w:r>
        <w:rPr>
          <w:b/>
          <w:color w:val="FF6600"/>
          <w:sz w:val="26"/>
        </w:rPr>
        <w:t>1. 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Наименование организации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БИН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Контактное лицо, должность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Телефон, e-mail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Отрасль (провайдер / банк / холдинг / госсектор / другое)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Закупка через тендер? (да/нет; площадка: Самрук-Қазына, госзакупки, другое)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2. Задача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Назначение ЦОД (основной / резервный / edge / вычисления ИИ)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Какие системы будут размещены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Желаемый уровень масштаба (1 контейнер / 3 контейнера / другое)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Желаемые сроки ввода в эксплуатацию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Ориентир по бюджету (при наличии)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3. ИТ-нагрузка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Количество стоек сейчас / на перспективу 3–5 лет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Средняя и максимальная мощность на стойку, кВт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Суммарная ИТ-нагрузка, кВт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Размеры стоек (ширина × глубина, U)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Требования к сетевому оборудованию и каналам связи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4. Площадка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Адрес / регион, климатические особенности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Размер свободной площадки, тип основания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Подъезд для автотранспорта и крана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Ограничения (охранная зона, высотность, шум)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Размещение: улица / внутри здания / ангар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5. Электропитание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Доступная мощность на вводе, кВт/кВА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Количество независимых вводов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Требуемый уровень резервирования (N, N+1, 2N)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Время автономной работы от ИБП, мин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Нужен ли дизель-генератор, время автономии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6. Охлаждение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Предпочтительная схема (фреон / чиллер / фрикулинг / жидкостное)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Требования к резервированию охлаждения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Особые требования (температурный режим, пыль, высота над уровнем моря)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7. Безопасность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Требования к СКУД и видеонаблюдению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Требования к пожаротушению (газ, тип агента)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Требования ИБ и регуляторов (НБ РК, АРРФР, ЕТ ИКТ и др.)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Интеграция с системами клиента (СБ, диспетчеризация)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8. Сервис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Нужен ли сервисный контракт и в каком объёме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Требуемое время реакции</w:t>
            </w:r>
          </w:p>
        </w:tc>
        <w:tc>
          <w:tcPr>
            <w:tcW w:type="dxa" w:w="5102"/>
          </w:tcPr>
          <w:p>
            <w:r/>
          </w:p>
        </w:tc>
      </w:tr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Эксплуатация своими силами / силами NLS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40"/>
      </w:pPr>
      <w:r>
        <w:rPr>
          <w:b/>
          <w:color w:val="FF6600"/>
          <w:sz w:val="26"/>
        </w:rPr>
        <w:t>9. Дополнительно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510"/>
        </w:trPr>
        <w:tc>
          <w:tcPr>
            <w:tcW w:type="dxa" w:w="4535"/>
            <w:shd w:val="clear" w:color="auto" w:fill="EEF4F8"/>
          </w:tcPr>
          <w:p>
            <w:r>
              <w:rPr>
                <w:sz w:val="20"/>
              </w:rPr>
              <w:t>Особые пожелания, вопросы, приложения (ТЗ, планы площадки, фото)</w:t>
            </w:r>
          </w:p>
        </w:tc>
        <w:tc>
          <w:tcPr>
            <w:tcW w:type="dxa" w:w="5102"/>
          </w:tcPr>
          <w:p>
            <w:r/>
          </w:p>
        </w:tc>
      </w:tr>
    </w:tbl>
    <w:p>
      <w:pPr>
        <w:spacing w:before="280"/>
      </w:pPr>
      <w:r>
        <w:rPr>
          <w:color w:val="8A95A6"/>
          <w:sz w:val="18"/>
        </w:rPr>
        <w:t>NLS Kazakhstan · Единый оператор связи · ЦОД под ключ на вашей площадке · server.iaas.nls.kz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лист: ЦОД под заказ — NLS Kazakhstan</dc:title>
  <dc:subject/>
  <dc:creator>NLS Kazakhstan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